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B6" w:rsidRPr="008D28B6" w:rsidRDefault="008D28B6" w:rsidP="008D28B6">
      <w:pPr>
        <w:spacing w:after="105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ES_tradnl"/>
        </w:rPr>
      </w:pPr>
    </w:p>
    <w:p w:rsidR="008D28B6" w:rsidRDefault="008D28B6" w:rsidP="008D28B6">
      <w:pPr>
        <w:spacing w:after="345" w:line="240" w:lineRule="auto"/>
        <w:jc w:val="both"/>
        <w:textAlignment w:val="baseline"/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</w:pPr>
      <w:r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  <w:t>¿A QUIÉN CORRESPONDE EL PAGO DE LOS IMPUESTOS DE LA HIPOTECA?</w:t>
      </w:r>
    </w:p>
    <w:p w:rsidR="008D28B6" w:rsidRPr="008D28B6" w:rsidRDefault="008D28B6" w:rsidP="008D28B6">
      <w:pPr>
        <w:spacing w:after="345" w:line="240" w:lineRule="auto"/>
        <w:jc w:val="both"/>
        <w:textAlignment w:val="baseline"/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</w:pPr>
      <w:r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  <w:t xml:space="preserve">La formalización de una hipoteca está gravada con el </w:t>
      </w:r>
      <w:r w:rsidRPr="008D28B6"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  <w:t>Impuesto de Transmisiones Patrimoniales y Actos Jurídicos Documentados</w:t>
      </w:r>
      <w:r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  <w:t>, que corresponde al comprador</w:t>
      </w:r>
      <w:r w:rsidRPr="008D28B6">
        <w:rPr>
          <w:rFonts w:ascii="Verdana" w:eastAsia="Times New Roman" w:hAnsi="Verdana" w:cs="Arial"/>
          <w:color w:val="36322D"/>
          <w:sz w:val="24"/>
          <w:szCs w:val="24"/>
          <w:lang w:eastAsia="es-ES_tradnl"/>
        </w:rPr>
        <w:t>.</w:t>
      </w:r>
    </w:p>
    <w:p w:rsidR="008D28B6" w:rsidRPr="008D28B6" w:rsidRDefault="008D28B6" w:rsidP="008D28B6">
      <w:pPr>
        <w:spacing w:after="300" w:line="240" w:lineRule="auto"/>
        <w:jc w:val="both"/>
        <w:textAlignment w:val="baseline"/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</w:pPr>
      <w:r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>Debido a las innumerables sentencias de los últimos años sobre cláusulas suelo y gastos hipotecarios en cuyos procedimientos se cuestionaba además a quién correspondía el pago del referido impuesto,</w:t>
      </w:r>
      <w:bookmarkStart w:id="0" w:name="_GoBack"/>
      <w:bookmarkEnd w:id="0"/>
      <w:r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 xml:space="preserve"> e</w:t>
      </w: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 xml:space="preserve">l Tribunal Supremo </w:t>
      </w:r>
      <w:r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 xml:space="preserve">ha resuelto la cuestión en la Sentencia de la Sala 1ª de 28 de febrero de 2017, en el sentido de que </w:t>
      </w: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 xml:space="preserve"> es el cliente y no el banco el que debe hacerse cargo de los gastos e impuestos de constitución de una hipoteca.</w:t>
      </w:r>
    </w:p>
    <w:p w:rsidR="008D28B6" w:rsidRPr="008D28B6" w:rsidRDefault="008D28B6" w:rsidP="008D28B6">
      <w:pPr>
        <w:spacing w:after="300" w:line="240" w:lineRule="auto"/>
        <w:jc w:val="both"/>
        <w:textAlignment w:val="baseline"/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</w:pP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>Según explica la nota informativa facilitada el gabinete técnico del alto tribunal, el pleno de la sala primera ha decidido en relación a dos recursos relativos a reclamaciones de consumidores contra cláusulas de escrituras de préstamo con garantía hipotecaria, que atribuían a los particulares todos los gastos e impuestos generados por la operación.</w:t>
      </w:r>
    </w:p>
    <w:p w:rsidR="008D28B6" w:rsidRPr="008D28B6" w:rsidRDefault="008D28B6" w:rsidP="008D28B6">
      <w:pPr>
        <w:spacing w:after="300" w:line="240" w:lineRule="auto"/>
        <w:jc w:val="both"/>
        <w:textAlignment w:val="baseline"/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</w:pP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 xml:space="preserve">El Supremo ha estimado </w:t>
      </w:r>
      <w:r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 xml:space="preserve">que </w:t>
      </w: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>deben distinguirse diversas situaciones:</w:t>
      </w:r>
    </w:p>
    <w:p w:rsidR="008D28B6" w:rsidRPr="008D28B6" w:rsidRDefault="008D28B6" w:rsidP="008D28B6">
      <w:pPr>
        <w:spacing w:after="300" w:line="240" w:lineRule="auto"/>
        <w:jc w:val="both"/>
        <w:textAlignment w:val="baseline"/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</w:pP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>a) Por la constitución del préstamo, el pago incumbe al prestatario. Sobre este particular, se remite a la jurisprudencia constante de la sala tercera, de lo contencioso-administrativo del Tribunal Supremo, que ha establecido que el sujeto pasivo del impuesto es el prestatario.</w:t>
      </w:r>
    </w:p>
    <w:p w:rsidR="008D28B6" w:rsidRPr="008D28B6" w:rsidRDefault="008D28B6" w:rsidP="008D28B6">
      <w:pPr>
        <w:spacing w:after="300" w:line="240" w:lineRule="auto"/>
        <w:jc w:val="both"/>
        <w:textAlignment w:val="baseline"/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</w:pPr>
      <w:r w:rsidRPr="008D28B6">
        <w:rPr>
          <w:rFonts w:ascii="Verdana" w:eastAsia="Times New Roman" w:hAnsi="Verdana" w:cs="Arial"/>
          <w:color w:val="1A1816"/>
          <w:sz w:val="24"/>
          <w:szCs w:val="24"/>
          <w:lang w:eastAsia="es-ES_tradnl"/>
        </w:rPr>
        <w:t>b) Por el timbre de los documentos notariales, el impuesto correspondiente a la matriz se abonará por partes iguales entre prestamista y prestatario, y el correspondiente a las copias, por quien las solicite.</w:t>
      </w:r>
    </w:p>
    <w:p w:rsidR="00A27F8C" w:rsidRPr="008D28B6" w:rsidRDefault="00A27F8C" w:rsidP="008D28B6">
      <w:pPr>
        <w:jc w:val="both"/>
        <w:rPr>
          <w:rFonts w:ascii="Verdana" w:hAnsi="Verdana"/>
          <w:sz w:val="24"/>
          <w:szCs w:val="24"/>
        </w:rPr>
      </w:pPr>
    </w:p>
    <w:sectPr w:rsidR="00A27F8C" w:rsidRPr="008D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8FA"/>
    <w:multiLevelType w:val="multilevel"/>
    <w:tmpl w:val="642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1831"/>
    <w:multiLevelType w:val="multilevel"/>
    <w:tmpl w:val="A43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6"/>
    <w:rsid w:val="008D28B6"/>
    <w:rsid w:val="00A2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cha">
    <w:name w:val="fecha"/>
    <w:basedOn w:val="Fuentedeprrafopredeter"/>
    <w:rsid w:val="008D28B6"/>
  </w:style>
  <w:style w:type="character" w:customStyle="1" w:styleId="hora">
    <w:name w:val="hora"/>
    <w:basedOn w:val="Fuentedeprrafopredeter"/>
    <w:rsid w:val="008D28B6"/>
  </w:style>
  <w:style w:type="character" w:customStyle="1" w:styleId="apple-converted-space">
    <w:name w:val="apple-converted-space"/>
    <w:basedOn w:val="Fuentedeprrafopredeter"/>
    <w:rsid w:val="008D28B6"/>
  </w:style>
  <w:style w:type="character" w:styleId="Hipervnculo">
    <w:name w:val="Hyperlink"/>
    <w:basedOn w:val="Fuentedeprrafopredeter"/>
    <w:uiPriority w:val="99"/>
    <w:semiHidden/>
    <w:unhideWhenUsed/>
    <w:rsid w:val="008D28B6"/>
    <w:rPr>
      <w:color w:val="0000FF"/>
      <w:u w:val="single"/>
    </w:rPr>
  </w:style>
  <w:style w:type="paragraph" w:customStyle="1" w:styleId="entradilla">
    <w:name w:val="entradilla"/>
    <w:basedOn w:val="Normal"/>
    <w:rsid w:val="008D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D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cha">
    <w:name w:val="fecha"/>
    <w:basedOn w:val="Fuentedeprrafopredeter"/>
    <w:rsid w:val="008D28B6"/>
  </w:style>
  <w:style w:type="character" w:customStyle="1" w:styleId="hora">
    <w:name w:val="hora"/>
    <w:basedOn w:val="Fuentedeprrafopredeter"/>
    <w:rsid w:val="008D28B6"/>
  </w:style>
  <w:style w:type="character" w:customStyle="1" w:styleId="apple-converted-space">
    <w:name w:val="apple-converted-space"/>
    <w:basedOn w:val="Fuentedeprrafopredeter"/>
    <w:rsid w:val="008D28B6"/>
  </w:style>
  <w:style w:type="character" w:styleId="Hipervnculo">
    <w:name w:val="Hyperlink"/>
    <w:basedOn w:val="Fuentedeprrafopredeter"/>
    <w:uiPriority w:val="99"/>
    <w:semiHidden/>
    <w:unhideWhenUsed/>
    <w:rsid w:val="008D28B6"/>
    <w:rPr>
      <w:color w:val="0000FF"/>
      <w:u w:val="single"/>
    </w:rPr>
  </w:style>
  <w:style w:type="paragraph" w:customStyle="1" w:styleId="entradilla">
    <w:name w:val="entradilla"/>
    <w:basedOn w:val="Normal"/>
    <w:rsid w:val="008D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D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4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PILAR MOLLAR PIQUER</cp:lastModifiedBy>
  <cp:revision>1</cp:revision>
  <dcterms:created xsi:type="dcterms:W3CDTF">2018-03-14T08:44:00Z</dcterms:created>
  <dcterms:modified xsi:type="dcterms:W3CDTF">2018-03-14T08:50:00Z</dcterms:modified>
</cp:coreProperties>
</file>